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533" w:rsidRPr="00E7042A" w:rsidRDefault="0063550F" w:rsidP="00E7042A">
      <w:pPr>
        <w:pStyle w:val="IQB-Aufgabentitel"/>
        <w:spacing w:after="120"/>
        <w:rPr>
          <w:rFonts w:cs="Arial"/>
          <w:szCs w:val="28"/>
        </w:rPr>
      </w:pPr>
      <w:r w:rsidRPr="00E7042A">
        <w:rPr>
          <w:rFonts w:cs="Arial"/>
          <w:szCs w:val="28"/>
        </w:rPr>
        <w:t xml:space="preserve">Didaktische </w:t>
      </w:r>
      <w:r w:rsidR="000A3788">
        <w:rPr>
          <w:rFonts w:cs="Arial"/>
          <w:szCs w:val="28"/>
        </w:rPr>
        <w:t>Kommentierung</w:t>
      </w:r>
      <w:bookmarkStart w:id="0" w:name="_GoBack"/>
      <w:bookmarkEnd w:id="0"/>
      <w:r w:rsidRPr="00E7042A">
        <w:rPr>
          <w:rFonts w:cs="Arial"/>
          <w:szCs w:val="28"/>
        </w:rPr>
        <w:t xml:space="preserve">: </w:t>
      </w:r>
      <w:r w:rsidR="00E7042A" w:rsidRPr="00E7042A">
        <w:rPr>
          <w:rFonts w:cs="Arial"/>
          <w:szCs w:val="28"/>
        </w:rPr>
        <w:t>Aufgab</w:t>
      </w:r>
      <w:r w:rsidRPr="00E7042A">
        <w:rPr>
          <w:rFonts w:cs="Arial"/>
          <w:szCs w:val="28"/>
        </w:rPr>
        <w:t xml:space="preserve">e </w:t>
      </w:r>
      <w:r w:rsidR="00E7042A" w:rsidRPr="00E7042A">
        <w:rPr>
          <w:rFonts w:cs="Arial"/>
          <w:szCs w:val="28"/>
        </w:rPr>
        <w:t>Spiegelungen Geobrett</w:t>
      </w:r>
    </w:p>
    <w:p w:rsidR="00E7042A" w:rsidRPr="00E7042A" w:rsidRDefault="00E7042A" w:rsidP="00E7042A">
      <w:pPr>
        <w:pStyle w:val="IQB-Aufgabentitel"/>
        <w:spacing w:after="120"/>
        <w:rPr>
          <w:rFonts w:cs="Arial"/>
          <w:sz w:val="22"/>
          <w:szCs w:val="22"/>
        </w:rPr>
      </w:pPr>
    </w:p>
    <w:p w:rsidR="0063550F" w:rsidRPr="00E7042A" w:rsidRDefault="0063550F" w:rsidP="00E7042A">
      <w:pPr>
        <w:pStyle w:val="IQB-Aufgabentitel"/>
        <w:spacing w:after="120"/>
        <w:rPr>
          <w:rFonts w:cs="Arial"/>
          <w:b/>
          <w:sz w:val="22"/>
          <w:szCs w:val="22"/>
        </w:rPr>
      </w:pPr>
      <w:r w:rsidRPr="00E7042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842533" w:rsidRPr="00E7042A">
        <w:tc>
          <w:tcPr>
            <w:tcW w:w="2040" w:type="dxa"/>
            <w:vAlign w:val="center"/>
          </w:tcPr>
          <w:p w:rsidR="00842533" w:rsidRPr="00E7042A" w:rsidRDefault="00E7042A" w:rsidP="00E7042A">
            <w:pPr>
              <w:pStyle w:val="IQB-Merkmal"/>
              <w:spacing w:before="0" w:after="120"/>
              <w:rPr>
                <w:rFonts w:cs="Arial"/>
                <w:sz w:val="20"/>
                <w:szCs w:val="20"/>
              </w:rPr>
            </w:pPr>
            <w:r w:rsidRPr="00E7042A">
              <w:rPr>
                <w:rFonts w:cs="Arial"/>
                <w:sz w:val="20"/>
                <w:szCs w:val="20"/>
              </w:rPr>
              <w:t>Leitidee</w:t>
            </w:r>
          </w:p>
        </w:tc>
        <w:tc>
          <w:tcPr>
            <w:tcW w:w="7086" w:type="dxa"/>
            <w:gridSpan w:val="2"/>
          </w:tcPr>
          <w:p w:rsidR="00842533" w:rsidRPr="00E7042A" w:rsidRDefault="00E7042A" w:rsidP="00E7042A">
            <w:pPr>
              <w:pStyle w:val="IQB-Merkmalswert"/>
              <w:spacing w:before="0" w:after="120"/>
              <w:rPr>
                <w:rFonts w:cs="Arial"/>
                <w:sz w:val="20"/>
                <w:szCs w:val="20"/>
              </w:rPr>
            </w:pPr>
            <w:r w:rsidRPr="00E7042A">
              <w:rPr>
                <w:rFonts w:cs="Arial"/>
                <w:sz w:val="20"/>
                <w:szCs w:val="20"/>
              </w:rPr>
              <w:t>Raum und Form</w:t>
            </w:r>
          </w:p>
        </w:tc>
      </w:tr>
      <w:tr w:rsidR="00842533" w:rsidRPr="00E7042A">
        <w:tc>
          <w:tcPr>
            <w:tcW w:w="2040" w:type="dxa"/>
          </w:tcPr>
          <w:p w:rsidR="00842533" w:rsidRPr="00E7042A" w:rsidRDefault="00E7042A" w:rsidP="00E7042A">
            <w:pPr>
              <w:pStyle w:val="IQB-Merkmal"/>
              <w:spacing w:before="0" w:after="120"/>
              <w:rPr>
                <w:rFonts w:cs="Arial"/>
                <w:sz w:val="20"/>
                <w:szCs w:val="20"/>
              </w:rPr>
            </w:pPr>
            <w:r w:rsidRPr="00E7042A">
              <w:rPr>
                <w:rFonts w:cs="Arial"/>
                <w:sz w:val="20"/>
                <w:szCs w:val="20"/>
              </w:rPr>
              <w:t>Aufgabenmerkmale</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1.1</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1.2</w:t>
            </w:r>
          </w:p>
        </w:tc>
      </w:tr>
      <w:tr w:rsidR="00842533" w:rsidRPr="00E7042A">
        <w:tc>
          <w:tcPr>
            <w:tcW w:w="2040" w:type="dxa"/>
            <w:vAlign w:val="center"/>
          </w:tcPr>
          <w:p w:rsidR="00842533" w:rsidRPr="00E7042A" w:rsidRDefault="00E7042A" w:rsidP="00E7042A">
            <w:pPr>
              <w:pStyle w:val="IQB-Merkmal"/>
              <w:spacing w:before="0" w:after="120"/>
              <w:rPr>
                <w:rFonts w:cs="Arial"/>
                <w:sz w:val="20"/>
                <w:szCs w:val="20"/>
              </w:rPr>
            </w:pPr>
            <w:r w:rsidRPr="00E7042A">
              <w:rPr>
                <w:rFonts w:cs="Arial"/>
                <w:sz w:val="20"/>
                <w:szCs w:val="20"/>
              </w:rPr>
              <w:t>Bildungsstandard/s - Allgemeine Kompetenzen</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Grundlegende Fertigkeiten</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Grundlegende Fertigkeiten</w:t>
            </w:r>
          </w:p>
        </w:tc>
      </w:tr>
      <w:tr w:rsidR="00842533" w:rsidRPr="00E7042A">
        <w:tc>
          <w:tcPr>
            <w:tcW w:w="2040" w:type="dxa"/>
            <w:vAlign w:val="center"/>
          </w:tcPr>
          <w:p w:rsidR="00842533" w:rsidRPr="00E7042A" w:rsidRDefault="00E7042A" w:rsidP="00E7042A">
            <w:pPr>
              <w:pStyle w:val="IQB-Merkmal"/>
              <w:spacing w:before="0" w:after="120"/>
              <w:rPr>
                <w:rFonts w:cs="Arial"/>
                <w:sz w:val="20"/>
                <w:szCs w:val="20"/>
              </w:rPr>
            </w:pPr>
            <w:r w:rsidRPr="00E7042A">
              <w:rPr>
                <w:rFonts w:cs="Arial"/>
                <w:sz w:val="20"/>
                <w:szCs w:val="20"/>
              </w:rPr>
              <w:t>Bildungsstandard/s - Inhaltsbezogene Kompetenzen (Leitideen)</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Eigenschaften der Achsensymmetrie erkennen, beschreiben und nutzen; symmetrische Muster fortsetzen und selbst entwickeln</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Eigenschaften der Achsensymmetrie erkennen, beschreiben und nutzen; symmetrische Muster fortsetzen und selbst entwickeln</w:t>
            </w:r>
          </w:p>
        </w:tc>
      </w:tr>
      <w:tr w:rsidR="00842533" w:rsidRPr="00E7042A">
        <w:tc>
          <w:tcPr>
            <w:tcW w:w="2040" w:type="dxa"/>
            <w:vAlign w:val="center"/>
          </w:tcPr>
          <w:p w:rsidR="00842533" w:rsidRPr="00E7042A" w:rsidRDefault="00E7042A" w:rsidP="00E7042A">
            <w:pPr>
              <w:pStyle w:val="IQB-Merkmal"/>
              <w:spacing w:before="0" w:after="120"/>
              <w:rPr>
                <w:rFonts w:cs="Arial"/>
                <w:sz w:val="20"/>
                <w:szCs w:val="20"/>
              </w:rPr>
            </w:pPr>
            <w:r w:rsidRPr="00E7042A">
              <w:rPr>
                <w:rFonts w:cs="Arial"/>
                <w:sz w:val="20"/>
                <w:szCs w:val="20"/>
              </w:rPr>
              <w:t>Kompetenzstufe</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I</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I</w:t>
            </w:r>
          </w:p>
        </w:tc>
      </w:tr>
      <w:tr w:rsidR="00842533" w:rsidRPr="00E7042A">
        <w:tc>
          <w:tcPr>
            <w:tcW w:w="2040" w:type="dxa"/>
            <w:vAlign w:val="center"/>
          </w:tcPr>
          <w:p w:rsidR="00842533" w:rsidRPr="00E7042A" w:rsidRDefault="00E7042A" w:rsidP="00E7042A">
            <w:pPr>
              <w:pStyle w:val="IQB-Merkmal"/>
              <w:spacing w:before="0" w:after="120"/>
              <w:rPr>
                <w:rFonts w:cs="Arial"/>
                <w:sz w:val="20"/>
                <w:szCs w:val="20"/>
              </w:rPr>
            </w:pPr>
            <w:r w:rsidRPr="00E7042A">
              <w:rPr>
                <w:rFonts w:cs="Arial"/>
                <w:sz w:val="20"/>
                <w:szCs w:val="20"/>
              </w:rPr>
              <w:t>Anforderungsbereich</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Reproduzieren (I)</w:t>
            </w:r>
          </w:p>
        </w:tc>
        <w:tc>
          <w:tcPr>
            <w:tcW w:w="3543" w:type="dxa"/>
          </w:tcPr>
          <w:p w:rsidR="00842533" w:rsidRPr="00E7042A" w:rsidRDefault="00E7042A" w:rsidP="00E7042A">
            <w:pPr>
              <w:pStyle w:val="IQB-Merkmalswert"/>
              <w:spacing w:before="0" w:after="120"/>
              <w:rPr>
                <w:rFonts w:cs="Arial"/>
                <w:sz w:val="20"/>
                <w:szCs w:val="20"/>
              </w:rPr>
            </w:pPr>
            <w:r w:rsidRPr="00E7042A">
              <w:rPr>
                <w:rFonts w:cs="Arial"/>
                <w:sz w:val="20"/>
                <w:szCs w:val="20"/>
              </w:rPr>
              <w:t>Reproduzieren (I)</w:t>
            </w:r>
          </w:p>
        </w:tc>
      </w:tr>
    </w:tbl>
    <w:p w:rsidR="00E7042A" w:rsidRPr="00E7042A" w:rsidRDefault="00E7042A" w:rsidP="00E7042A">
      <w:pPr>
        <w:pStyle w:val="IQB-Teilaufgabensubtitel"/>
        <w:spacing w:before="0" w:after="120"/>
        <w:rPr>
          <w:rFonts w:cs="Arial"/>
          <w:sz w:val="18"/>
          <w:szCs w:val="18"/>
        </w:rPr>
      </w:pPr>
    </w:p>
    <w:p w:rsidR="00E7042A" w:rsidRPr="00E7042A" w:rsidRDefault="00E7042A" w:rsidP="00E7042A">
      <w:pPr>
        <w:pStyle w:val="IQB-Teilaufgabensubtitel"/>
        <w:spacing w:before="0" w:after="120"/>
        <w:rPr>
          <w:rFonts w:cs="Arial"/>
          <w:b/>
          <w:szCs w:val="22"/>
        </w:rPr>
      </w:pPr>
      <w:r w:rsidRPr="00E7042A">
        <w:rPr>
          <w:rFonts w:cs="Arial"/>
          <w:b/>
          <w:szCs w:val="22"/>
        </w:rPr>
        <w:t>Aufgabenbezogener Kommentar</w:t>
      </w:r>
    </w:p>
    <w:p w:rsidR="00E7042A" w:rsidRDefault="00E7042A" w:rsidP="00E7042A">
      <w:pPr>
        <w:spacing w:after="120"/>
        <w:rPr>
          <w:rFonts w:ascii="Arial" w:hAnsi="Arial" w:cs="Arial"/>
          <w:sz w:val="22"/>
          <w:szCs w:val="22"/>
        </w:rPr>
      </w:pPr>
      <w:r w:rsidRPr="00E7042A">
        <w:rPr>
          <w:rFonts w:ascii="Arial" w:hAnsi="Arial" w:cs="Arial"/>
          <w:sz w:val="22"/>
          <w:szCs w:val="22"/>
        </w:rPr>
        <w:t>Es kommt zu Verständnisproblemen, wenn der Begriff „Spiegelbild“ nicht bekannt ist oder die dicke Linie nicht als Spiegelachse erkannt wird. Die grafische Darstellung unterstützt aber das Erfassen der Aufgabenstellung. Den Schülerinnen und Schülern ist das Spiegeln an</w:t>
      </w:r>
      <w:r>
        <w:rPr>
          <w:rFonts w:ascii="Arial" w:hAnsi="Arial" w:cs="Arial"/>
          <w:sz w:val="22"/>
          <w:szCs w:val="22"/>
        </w:rPr>
        <w:t xml:space="preserve"> </w:t>
      </w:r>
      <w:r w:rsidRPr="00E7042A">
        <w:rPr>
          <w:rFonts w:ascii="Arial" w:hAnsi="Arial" w:cs="Arial"/>
          <w:sz w:val="22"/>
          <w:szCs w:val="22"/>
        </w:rPr>
        <w:t>einer Achse vermutlich aus dem Unterricht vertraut, die Aufbereitung der Aufgabe durch die Darstellung als Figur auf dem Geobrett ist u. U. ungewohnt. Zur Bearbeitung reicht eine Freihandzeichnung. Die Punkte des Geobretts sind im Vergleich zu einer Hinterlegung mit kariertem Hintergrundraster eine Vereinfachung.</w:t>
      </w:r>
    </w:p>
    <w:p w:rsidR="00E7042A" w:rsidRPr="00E7042A" w:rsidRDefault="00E7042A" w:rsidP="00E7042A">
      <w:pPr>
        <w:spacing w:after="120"/>
        <w:rPr>
          <w:rFonts w:ascii="Arial" w:hAnsi="Arial" w:cs="Arial"/>
          <w:sz w:val="16"/>
          <w:szCs w:val="16"/>
        </w:rPr>
      </w:pPr>
    </w:p>
    <w:p w:rsidR="00E7042A" w:rsidRPr="00E7042A" w:rsidRDefault="00E7042A" w:rsidP="00E7042A">
      <w:pPr>
        <w:spacing w:after="120"/>
        <w:rPr>
          <w:rFonts w:ascii="Arial" w:hAnsi="Arial" w:cs="Arial"/>
          <w:b/>
          <w:sz w:val="22"/>
          <w:szCs w:val="22"/>
        </w:rPr>
      </w:pPr>
      <w:r w:rsidRPr="00E7042A">
        <w:rPr>
          <w:rFonts w:ascii="Arial" w:hAnsi="Arial" w:cs="Arial"/>
          <w:b/>
          <w:sz w:val="22"/>
          <w:szCs w:val="22"/>
        </w:rPr>
        <w:t>Anregungen für den Unterricht</w:t>
      </w:r>
    </w:p>
    <w:p w:rsidR="00E7042A" w:rsidRPr="00E7042A" w:rsidRDefault="00E7042A" w:rsidP="00E7042A">
      <w:pPr>
        <w:spacing w:after="120"/>
        <w:rPr>
          <w:rFonts w:ascii="Arial" w:hAnsi="Arial" w:cs="Arial"/>
          <w:sz w:val="22"/>
          <w:szCs w:val="22"/>
        </w:rPr>
      </w:pPr>
      <w:r w:rsidRPr="00E7042A">
        <w:rPr>
          <w:rFonts w:ascii="Arial" w:hAnsi="Arial" w:cs="Arial"/>
          <w:sz w:val="22"/>
          <w:szCs w:val="22"/>
        </w:rPr>
        <w:t>Im Bereich der Symmetrie verfügen die Kinder über Vorerfahrungen. Das Falten und Schnei- den oder das Färben von Mustern gehört dazu. In der Lebenswelt begegnet den Schülerinnen und Schülern das Phänomen in der Natur z. B. bei Käfern, Schmetterlingen, Blumen und auch bei von Menschen gefertigten Objekten wie z. B. Bauwerken, technischen Geräten, Logos oder manchen Buchstaben und Ziffern.</w:t>
      </w:r>
    </w:p>
    <w:p w:rsidR="00E7042A" w:rsidRPr="00E7042A" w:rsidRDefault="00E7042A" w:rsidP="00E7042A">
      <w:pPr>
        <w:spacing w:after="120"/>
        <w:rPr>
          <w:rFonts w:ascii="Arial" w:hAnsi="Arial" w:cs="Arial"/>
          <w:sz w:val="22"/>
          <w:szCs w:val="22"/>
        </w:rPr>
      </w:pPr>
      <w:r w:rsidRPr="00E7042A">
        <w:rPr>
          <w:rFonts w:ascii="Arial" w:hAnsi="Arial" w:cs="Arial"/>
          <w:sz w:val="22"/>
          <w:szCs w:val="22"/>
        </w:rPr>
        <w:t>Die Kinder können sich mit dem Phänomen der Symmetrie befassen, indem sie</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Spiegelachsen durch Schneiden und Übereinanderlegen überprüfen,</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Spiegelachsen finden und einzeichnen,</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mit dem halbdurchsichtigen Spiegel arbeiten,</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Fehler in Spiegelungen entdecken,</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die fehlende Hälfte einer Figur</w:t>
      </w:r>
      <w:r>
        <w:rPr>
          <w:rFonts w:ascii="Arial" w:hAnsi="Arial" w:cs="Arial"/>
          <w:sz w:val="22"/>
          <w:szCs w:val="22"/>
        </w:rPr>
        <w:t xml:space="preserve"> </w:t>
      </w:r>
      <w:proofErr w:type="gramStart"/>
      <w:r w:rsidRPr="00E7042A">
        <w:rPr>
          <w:rFonts w:ascii="Arial" w:hAnsi="Arial" w:cs="Arial"/>
          <w:sz w:val="22"/>
          <w:szCs w:val="22"/>
        </w:rPr>
        <w:t>ergänzen</w:t>
      </w:r>
      <w:proofErr w:type="gramEnd"/>
      <w:r w:rsidRPr="00E7042A">
        <w:rPr>
          <w:rFonts w:ascii="Arial" w:hAnsi="Arial" w:cs="Arial"/>
          <w:sz w:val="22"/>
          <w:szCs w:val="22"/>
        </w:rPr>
        <w:t>,</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 xml:space="preserve">eine gesamte, fertige Figur </w:t>
      </w:r>
      <w:proofErr w:type="gramStart"/>
      <w:r w:rsidRPr="00E7042A">
        <w:rPr>
          <w:rFonts w:ascii="Arial" w:hAnsi="Arial" w:cs="Arial"/>
          <w:sz w:val="22"/>
          <w:szCs w:val="22"/>
        </w:rPr>
        <w:t>spiegeln</w:t>
      </w:r>
      <w:proofErr w:type="gramEnd"/>
      <w:r w:rsidRPr="00E7042A">
        <w:rPr>
          <w:rFonts w:ascii="Arial" w:hAnsi="Arial" w:cs="Arial"/>
          <w:sz w:val="22"/>
          <w:szCs w:val="22"/>
        </w:rPr>
        <w:t>,</w:t>
      </w:r>
    </w:p>
    <w:p w:rsidR="00E7042A" w:rsidRDefault="00E7042A" w:rsidP="00E7042A">
      <w:pPr>
        <w:pStyle w:val="Listenabsatz"/>
        <w:numPr>
          <w:ilvl w:val="0"/>
          <w:numId w:val="3"/>
        </w:numPr>
        <w:spacing w:after="120"/>
        <w:rPr>
          <w:rFonts w:ascii="Arial" w:hAnsi="Arial" w:cs="Arial"/>
          <w:sz w:val="22"/>
          <w:szCs w:val="22"/>
        </w:rPr>
      </w:pPr>
      <w:r w:rsidRPr="00E7042A">
        <w:rPr>
          <w:rFonts w:ascii="Arial" w:hAnsi="Arial" w:cs="Arial"/>
          <w:sz w:val="22"/>
          <w:szCs w:val="22"/>
        </w:rPr>
        <w:t>komplexe Figuren spiegeln, die diagonale Strecken oder Bögen enthalten.</w:t>
      </w:r>
    </w:p>
    <w:p w:rsidR="00E7042A" w:rsidRPr="00E7042A" w:rsidRDefault="00E7042A" w:rsidP="00E7042A">
      <w:pPr>
        <w:pStyle w:val="Listenabsatz"/>
        <w:spacing w:after="120"/>
        <w:rPr>
          <w:rFonts w:ascii="Arial" w:hAnsi="Arial" w:cs="Arial"/>
          <w:sz w:val="22"/>
          <w:szCs w:val="22"/>
        </w:rPr>
      </w:pPr>
    </w:p>
    <w:p w:rsidR="00E7042A" w:rsidRPr="00E7042A" w:rsidRDefault="00E7042A" w:rsidP="00E7042A">
      <w:pPr>
        <w:spacing w:after="120"/>
        <w:rPr>
          <w:rFonts w:ascii="Arial" w:hAnsi="Arial" w:cs="Arial"/>
          <w:sz w:val="22"/>
          <w:szCs w:val="22"/>
        </w:rPr>
      </w:pPr>
      <w:r w:rsidRPr="00E7042A">
        <w:rPr>
          <w:rFonts w:ascii="Arial" w:hAnsi="Arial" w:cs="Arial"/>
          <w:sz w:val="22"/>
          <w:szCs w:val="22"/>
        </w:rPr>
        <w:t>Der Schwierigkeitsgrad ist erhöht, wenn</w:t>
      </w:r>
    </w:p>
    <w:p w:rsidR="00E7042A" w:rsidRDefault="00E7042A" w:rsidP="00E7042A">
      <w:pPr>
        <w:pStyle w:val="Listenabsatz"/>
        <w:numPr>
          <w:ilvl w:val="0"/>
          <w:numId w:val="4"/>
        </w:numPr>
        <w:spacing w:after="120"/>
        <w:rPr>
          <w:rFonts w:ascii="Arial" w:hAnsi="Arial" w:cs="Arial"/>
          <w:sz w:val="22"/>
          <w:szCs w:val="22"/>
        </w:rPr>
      </w:pPr>
      <w:r w:rsidRPr="00E7042A">
        <w:rPr>
          <w:rFonts w:ascii="Arial" w:hAnsi="Arial" w:cs="Arial"/>
          <w:sz w:val="22"/>
          <w:szCs w:val="22"/>
        </w:rPr>
        <w:t>das zu spiegelnde Objekt einen relativ großen Abstand zur Spiegelachse hat,</w:t>
      </w:r>
    </w:p>
    <w:p w:rsidR="00E7042A" w:rsidRDefault="00E7042A" w:rsidP="00E7042A">
      <w:pPr>
        <w:pStyle w:val="Listenabsatz"/>
        <w:numPr>
          <w:ilvl w:val="0"/>
          <w:numId w:val="4"/>
        </w:numPr>
        <w:spacing w:after="120"/>
        <w:rPr>
          <w:rFonts w:ascii="Arial" w:hAnsi="Arial" w:cs="Arial"/>
          <w:sz w:val="22"/>
          <w:szCs w:val="22"/>
        </w:rPr>
      </w:pPr>
      <w:r w:rsidRPr="00E7042A">
        <w:rPr>
          <w:rFonts w:ascii="Arial" w:hAnsi="Arial" w:cs="Arial"/>
          <w:sz w:val="22"/>
          <w:szCs w:val="22"/>
        </w:rPr>
        <w:t>an mehreren Spiegelachsen nacheinander gespiegelt wird.</w:t>
      </w:r>
    </w:p>
    <w:p w:rsidR="00E7042A" w:rsidRPr="00E7042A" w:rsidRDefault="00E7042A" w:rsidP="00E7042A">
      <w:pPr>
        <w:pStyle w:val="Listenabsatz"/>
        <w:spacing w:after="120"/>
        <w:rPr>
          <w:rFonts w:ascii="Arial" w:hAnsi="Arial" w:cs="Arial"/>
          <w:sz w:val="22"/>
          <w:szCs w:val="22"/>
        </w:rPr>
      </w:pPr>
    </w:p>
    <w:p w:rsidR="00E7042A" w:rsidRPr="00E7042A" w:rsidRDefault="00E7042A" w:rsidP="00E7042A">
      <w:pPr>
        <w:spacing w:after="120"/>
        <w:rPr>
          <w:rFonts w:ascii="Arial" w:hAnsi="Arial" w:cs="Arial"/>
          <w:sz w:val="22"/>
          <w:szCs w:val="22"/>
        </w:rPr>
      </w:pPr>
      <w:r w:rsidRPr="00E7042A">
        <w:rPr>
          <w:rFonts w:ascii="Arial" w:hAnsi="Arial" w:cs="Arial"/>
          <w:sz w:val="22"/>
          <w:szCs w:val="22"/>
        </w:rPr>
        <w:t>Weitere Möglichkeiten zur Thematisierung von Symmetrien:</w:t>
      </w:r>
    </w:p>
    <w:p w:rsidR="00E7042A" w:rsidRDefault="00E7042A" w:rsidP="00E7042A">
      <w:pPr>
        <w:pStyle w:val="Listenabsatz"/>
        <w:numPr>
          <w:ilvl w:val="0"/>
          <w:numId w:val="5"/>
        </w:numPr>
        <w:spacing w:after="120"/>
        <w:rPr>
          <w:rFonts w:ascii="Arial" w:hAnsi="Arial" w:cs="Arial"/>
          <w:sz w:val="22"/>
          <w:szCs w:val="22"/>
        </w:rPr>
      </w:pPr>
      <w:r w:rsidRPr="00E7042A">
        <w:rPr>
          <w:rFonts w:ascii="Arial" w:hAnsi="Arial" w:cs="Arial"/>
          <w:sz w:val="22"/>
          <w:szCs w:val="22"/>
        </w:rPr>
        <w:t>Symmetrien in der Kunst untersuchen,</w:t>
      </w:r>
    </w:p>
    <w:p w:rsidR="00E7042A" w:rsidRDefault="00E7042A" w:rsidP="00E7042A">
      <w:pPr>
        <w:pStyle w:val="Listenabsatz"/>
        <w:numPr>
          <w:ilvl w:val="0"/>
          <w:numId w:val="5"/>
        </w:numPr>
        <w:spacing w:after="120"/>
        <w:rPr>
          <w:rFonts w:ascii="Arial" w:hAnsi="Arial" w:cs="Arial"/>
          <w:sz w:val="22"/>
          <w:szCs w:val="22"/>
        </w:rPr>
      </w:pPr>
      <w:r w:rsidRPr="00E7042A">
        <w:rPr>
          <w:rFonts w:ascii="Arial" w:hAnsi="Arial" w:cs="Arial"/>
          <w:sz w:val="22"/>
          <w:szCs w:val="22"/>
        </w:rPr>
        <w:t>Parkette aus symmetrischen Formen herstellen,</w:t>
      </w:r>
    </w:p>
    <w:p w:rsidR="00E7042A" w:rsidRDefault="00E7042A" w:rsidP="00E7042A">
      <w:pPr>
        <w:pStyle w:val="Listenabsatz"/>
        <w:numPr>
          <w:ilvl w:val="0"/>
          <w:numId w:val="5"/>
        </w:numPr>
        <w:spacing w:after="120"/>
        <w:rPr>
          <w:rFonts w:ascii="Arial" w:hAnsi="Arial" w:cs="Arial"/>
          <w:sz w:val="22"/>
          <w:szCs w:val="22"/>
        </w:rPr>
      </w:pPr>
      <w:r w:rsidRPr="00E7042A">
        <w:rPr>
          <w:rFonts w:ascii="Arial" w:hAnsi="Arial" w:cs="Arial"/>
          <w:sz w:val="22"/>
          <w:szCs w:val="22"/>
        </w:rPr>
        <w:t>Papierflieger bauen,</w:t>
      </w:r>
    </w:p>
    <w:p w:rsidR="00FF4C2B" w:rsidRPr="00E7042A" w:rsidRDefault="00E7042A" w:rsidP="00E7042A">
      <w:pPr>
        <w:pStyle w:val="Listenabsatz"/>
        <w:numPr>
          <w:ilvl w:val="0"/>
          <w:numId w:val="5"/>
        </w:numPr>
        <w:spacing w:after="120"/>
        <w:rPr>
          <w:rFonts w:ascii="Arial" w:hAnsi="Arial" w:cs="Arial"/>
          <w:sz w:val="22"/>
          <w:szCs w:val="22"/>
        </w:rPr>
      </w:pPr>
      <w:r w:rsidRPr="00E7042A">
        <w:rPr>
          <w:rFonts w:ascii="Arial" w:hAnsi="Arial" w:cs="Arial"/>
          <w:sz w:val="22"/>
          <w:szCs w:val="22"/>
        </w:rPr>
        <w:t>an Lernorten außerhalb des Klassenraumes nach Symmetrien suchen.</w:t>
      </w:r>
    </w:p>
    <w:sectPr w:rsidR="00FF4C2B" w:rsidRPr="00E704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50F" w:rsidRDefault="0063550F" w:rsidP="0063550F">
      <w:r>
        <w:separator/>
      </w:r>
    </w:p>
  </w:endnote>
  <w:endnote w:type="continuationSeparator" w:id="0">
    <w:p w:rsidR="0063550F" w:rsidRDefault="0063550F" w:rsidP="00635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50F" w:rsidRDefault="0063550F" w:rsidP="0063550F">
      <w:r>
        <w:separator/>
      </w:r>
    </w:p>
  </w:footnote>
  <w:footnote w:type="continuationSeparator" w:id="0">
    <w:p w:rsidR="0063550F" w:rsidRDefault="0063550F" w:rsidP="00635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Kopfzeile"/>
    </w:pPr>
    <w:r>
      <w:rPr>
        <w:noProof/>
      </w:rPr>
      <w:drawing>
        <wp:inline distT="0" distB="0" distL="0" distR="0">
          <wp:extent cx="4051300" cy="26670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130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50F" w:rsidRDefault="006355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50197"/>
    <w:multiLevelType w:val="hybridMultilevel"/>
    <w:tmpl w:val="3804495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4711BFD"/>
    <w:multiLevelType w:val="hybridMultilevel"/>
    <w:tmpl w:val="F4006AA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3B7F0B"/>
    <w:multiLevelType w:val="hybridMultilevel"/>
    <w:tmpl w:val="2914607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3788"/>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3550F"/>
    <w:rsid w:val="00666933"/>
    <w:rsid w:val="00692E69"/>
    <w:rsid w:val="006C29B7"/>
    <w:rsid w:val="00753D68"/>
    <w:rsid w:val="00756CB3"/>
    <w:rsid w:val="007C729F"/>
    <w:rsid w:val="007D4262"/>
    <w:rsid w:val="00806273"/>
    <w:rsid w:val="008336E4"/>
    <w:rsid w:val="00837274"/>
    <w:rsid w:val="00842533"/>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E7042A"/>
    <w:rsid w:val="00F0154F"/>
    <w:rsid w:val="00FA77D2"/>
    <w:rsid w:val="00FB6458"/>
    <w:rsid w:val="00FF4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86646"/>
  <w15:docId w15:val="{F3A77788-ADBB-4853-8E82-CFE05037C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63550F"/>
    <w:pPr>
      <w:tabs>
        <w:tab w:val="center" w:pos="4536"/>
        <w:tab w:val="right" w:pos="9072"/>
      </w:tabs>
    </w:pPr>
  </w:style>
  <w:style w:type="character" w:customStyle="1" w:styleId="KopfzeileZchn">
    <w:name w:val="Kopfzeile Zchn"/>
    <w:basedOn w:val="Absatz-Standardschriftart"/>
    <w:link w:val="Kopfzeile"/>
    <w:rsid w:val="0063550F"/>
    <w:rPr>
      <w:sz w:val="24"/>
      <w:szCs w:val="24"/>
    </w:rPr>
  </w:style>
  <w:style w:type="paragraph" w:styleId="Fuzeile">
    <w:name w:val="footer"/>
    <w:basedOn w:val="Standard"/>
    <w:link w:val="FuzeileZchn"/>
    <w:unhideWhenUsed/>
    <w:rsid w:val="0063550F"/>
    <w:pPr>
      <w:tabs>
        <w:tab w:val="center" w:pos="4536"/>
        <w:tab w:val="right" w:pos="9072"/>
      </w:tabs>
    </w:pPr>
  </w:style>
  <w:style w:type="character" w:customStyle="1" w:styleId="FuzeileZchn">
    <w:name w:val="Fußzeile Zchn"/>
    <w:basedOn w:val="Absatz-Standardschriftart"/>
    <w:link w:val="Fuzeile"/>
    <w:rsid w:val="0063550F"/>
    <w:rPr>
      <w:sz w:val="24"/>
      <w:szCs w:val="24"/>
    </w:rPr>
  </w:style>
  <w:style w:type="paragraph" w:styleId="Listenabsatz">
    <w:name w:val="List Paragraph"/>
    <w:basedOn w:val="Standard"/>
    <w:uiPriority w:val="34"/>
    <w:qFormat/>
    <w:rsid w:val="00E70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2111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